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C33" w14:textId="2D90CEB9" w:rsidR="008C0731" w:rsidRDefault="002A09AC" w:rsidP="00A63762">
      <w:pPr>
        <w:pStyle w:val="Heading10"/>
        <w:keepNext/>
        <w:keepLines/>
        <w:shd w:val="clear" w:color="auto" w:fill="auto"/>
        <w:spacing w:before="100" w:beforeAutospacing="1" w:after="100" w:afterAutospacing="1"/>
        <w:ind w:left="80" w:right="400" w:firstLine="0"/>
        <w:contextualSpacing/>
        <w:jc w:val="center"/>
      </w:pPr>
      <w:bookmarkStart w:id="0" w:name="bookmark0"/>
      <w:r>
        <w:t xml:space="preserve">PREDBEŽNÁ SPRAVA z vykonania verejnej zbierky reg. č. </w:t>
      </w:r>
      <w:r w:rsidR="00A63762">
        <w:t>205-2020-035229</w:t>
      </w:r>
      <w:r>
        <w:t xml:space="preserve"> zo dňa </w:t>
      </w:r>
      <w:bookmarkEnd w:id="0"/>
      <w:r w:rsidR="00A63762">
        <w:t>18.9.2020</w:t>
      </w:r>
    </w:p>
    <w:p w14:paraId="77D98C0C" w14:textId="2194AA50" w:rsidR="008C0731" w:rsidRDefault="002A09AC" w:rsidP="00A63762">
      <w:pPr>
        <w:pStyle w:val="Bodytext20"/>
        <w:shd w:val="clear" w:color="auto" w:fill="auto"/>
        <w:spacing w:before="100" w:beforeAutospacing="1" w:after="100" w:afterAutospacing="1" w:line="220" w:lineRule="exact"/>
        <w:ind w:left="4460"/>
        <w:contextualSpacing/>
      </w:pPr>
      <w:r>
        <w:t>I.</w:t>
      </w:r>
    </w:p>
    <w:p w14:paraId="5F568CFD" w14:textId="77777777" w:rsidR="00A63762" w:rsidRDefault="00A63762" w:rsidP="00A63762">
      <w:pPr>
        <w:pStyle w:val="Bodytext20"/>
        <w:shd w:val="clear" w:color="auto" w:fill="auto"/>
        <w:spacing w:before="100" w:beforeAutospacing="1" w:after="100" w:afterAutospacing="1" w:line="220" w:lineRule="exact"/>
        <w:ind w:left="4460"/>
        <w:contextualSpacing/>
      </w:pPr>
    </w:p>
    <w:tbl>
      <w:tblPr>
        <w:tblStyle w:val="Mkatabulky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5837"/>
      </w:tblGrid>
      <w:tr w:rsidR="00A63762" w14:paraId="169408B9" w14:textId="77777777" w:rsidTr="00A63762">
        <w:tc>
          <w:tcPr>
            <w:tcW w:w="3289" w:type="dxa"/>
          </w:tcPr>
          <w:p w14:paraId="43F0F5D2" w14:textId="0055FED3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Vykonávateľ verejnej zbierky:</w:t>
            </w:r>
          </w:p>
        </w:tc>
        <w:tc>
          <w:tcPr>
            <w:tcW w:w="6135" w:type="dxa"/>
          </w:tcPr>
          <w:p w14:paraId="27F3B780" w14:textId="66B0EC9C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 xml:space="preserve">Naše </w:t>
            </w:r>
            <w:proofErr w:type="spellStart"/>
            <w:r w:rsidRPr="00A63762">
              <w:rPr>
                <w:sz w:val="24"/>
                <w:szCs w:val="24"/>
              </w:rPr>
              <w:t>mesTTo</w:t>
            </w:r>
            <w:proofErr w:type="spellEnd"/>
            <w:r w:rsidRPr="00A63762">
              <w:rPr>
                <w:sz w:val="24"/>
                <w:szCs w:val="24"/>
              </w:rPr>
              <w:t xml:space="preserve"> Trnava</w:t>
            </w:r>
            <w:r w:rsidR="002A31D6">
              <w:rPr>
                <w:sz w:val="24"/>
                <w:szCs w:val="24"/>
              </w:rPr>
              <w:t xml:space="preserve">, </w:t>
            </w:r>
            <w:proofErr w:type="spellStart"/>
            <w:r w:rsidR="002A31D6">
              <w:rPr>
                <w:sz w:val="24"/>
                <w:szCs w:val="24"/>
              </w:rPr>
              <w:t>o.z</w:t>
            </w:r>
            <w:proofErr w:type="spellEnd"/>
            <w:r w:rsidR="002A31D6">
              <w:rPr>
                <w:sz w:val="24"/>
                <w:szCs w:val="24"/>
              </w:rPr>
              <w:t>.</w:t>
            </w:r>
          </w:p>
          <w:p w14:paraId="0E135441" w14:textId="2E8E88C9" w:rsidR="00A63762" w:rsidRPr="00A63762" w:rsidRDefault="00A63762" w:rsidP="00A63762">
            <w:pPr>
              <w:pStyle w:val="Zkladntext1"/>
              <w:shd w:val="clear" w:color="auto" w:fill="auto"/>
              <w:spacing w:before="100" w:beforeAutospacing="1" w:after="100" w:afterAutospacing="1"/>
              <w:ind w:right="720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 xml:space="preserve">so sídlom </w:t>
            </w:r>
            <w:r w:rsidR="002A31D6">
              <w:rPr>
                <w:sz w:val="24"/>
                <w:szCs w:val="24"/>
              </w:rPr>
              <w:t>Š</w:t>
            </w:r>
            <w:r w:rsidRPr="00A63762">
              <w:rPr>
                <w:sz w:val="24"/>
                <w:szCs w:val="24"/>
              </w:rPr>
              <w:t>ípová ulica 2605/7, 91701 Trnava IČO: 42401631</w:t>
            </w:r>
          </w:p>
        </w:tc>
      </w:tr>
      <w:tr w:rsidR="00A63762" w14:paraId="549A122C" w14:textId="77777777" w:rsidTr="00A63762">
        <w:tc>
          <w:tcPr>
            <w:tcW w:w="3289" w:type="dxa"/>
          </w:tcPr>
          <w:p w14:paraId="481F6325" w14:textId="14D045AE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Názov verejnej zbierky:</w:t>
            </w:r>
          </w:p>
        </w:tc>
        <w:tc>
          <w:tcPr>
            <w:tcW w:w="6135" w:type="dxa"/>
          </w:tcPr>
          <w:p w14:paraId="772B5648" w14:textId="602B6C0B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Pamätník nenarodených Trnava</w:t>
            </w:r>
          </w:p>
        </w:tc>
      </w:tr>
      <w:tr w:rsidR="00A63762" w14:paraId="142523BE" w14:textId="77777777" w:rsidTr="00A63762">
        <w:tc>
          <w:tcPr>
            <w:tcW w:w="3289" w:type="dxa"/>
          </w:tcPr>
          <w:p w14:paraId="35B8124E" w14:textId="76B34A49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Účel verejnej zbierky:</w:t>
            </w:r>
          </w:p>
        </w:tc>
        <w:tc>
          <w:tcPr>
            <w:tcW w:w="6135" w:type="dxa"/>
          </w:tcPr>
          <w:p w14:paraId="6E7100C3" w14:textId="22E1BF90" w:rsidR="00A63762" w:rsidRP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rozvoj a ochr</w:t>
            </w:r>
            <w:r w:rsidR="002A31D6">
              <w:rPr>
                <w:b w:val="0"/>
                <w:bCs w:val="0"/>
                <w:sz w:val="24"/>
                <w:szCs w:val="24"/>
              </w:rPr>
              <w:t>a</w:t>
            </w:r>
            <w:r w:rsidRPr="00A63762">
              <w:rPr>
                <w:b w:val="0"/>
                <w:bCs w:val="0"/>
                <w:sz w:val="24"/>
                <w:szCs w:val="24"/>
              </w:rPr>
              <w:t>na duchovných hodnôt</w:t>
            </w:r>
          </w:p>
          <w:p w14:paraId="7B14B576" w14:textId="77777777" w:rsidR="00A63762" w:rsidRP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zachovanie prírodných a kultúrnych hodnôt</w:t>
            </w:r>
          </w:p>
          <w:p w14:paraId="71A2F886" w14:textId="174473A1" w:rsidR="00A63762" w:rsidRP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rozvoj sociálnych služieb, vedy, vzdelania a</w:t>
            </w:r>
            <w:r w:rsidR="002A31D6">
              <w:rPr>
                <w:b w:val="0"/>
                <w:bCs w:val="0"/>
                <w:sz w:val="24"/>
                <w:szCs w:val="24"/>
              </w:rPr>
              <w:t> </w:t>
            </w:r>
            <w:r w:rsidRPr="00A63762">
              <w:rPr>
                <w:b w:val="0"/>
                <w:bCs w:val="0"/>
                <w:sz w:val="24"/>
                <w:szCs w:val="24"/>
              </w:rPr>
              <w:t>telovýchovy</w:t>
            </w:r>
          </w:p>
        </w:tc>
      </w:tr>
      <w:tr w:rsidR="00A63762" w14:paraId="3825DD2B" w14:textId="77777777" w:rsidTr="00A63762">
        <w:tc>
          <w:tcPr>
            <w:tcW w:w="3289" w:type="dxa"/>
          </w:tcPr>
          <w:p w14:paraId="6FD8FBA0" w14:textId="629FECBA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Číslo rozhodnutia:</w:t>
            </w:r>
          </w:p>
        </w:tc>
        <w:tc>
          <w:tcPr>
            <w:tcW w:w="6135" w:type="dxa"/>
          </w:tcPr>
          <w:p w14:paraId="723A0D87" w14:textId="0E5344D7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OU-TT-OVVS1-2020/035229, vydal Okresný úrad Trnava – odbor vnútornej správy, Kollárova 8, 917 02 Trnava</w:t>
            </w:r>
          </w:p>
        </w:tc>
      </w:tr>
      <w:tr w:rsidR="00A63762" w14:paraId="501F2445" w14:textId="77777777" w:rsidTr="00A63762">
        <w:tc>
          <w:tcPr>
            <w:tcW w:w="3289" w:type="dxa"/>
          </w:tcPr>
          <w:p w14:paraId="1FA28E78" w14:textId="3A45F552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Registračné číslo zbierky:</w:t>
            </w:r>
          </w:p>
        </w:tc>
        <w:tc>
          <w:tcPr>
            <w:tcW w:w="6135" w:type="dxa"/>
          </w:tcPr>
          <w:p w14:paraId="3A404EE3" w14:textId="4394AFD3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205-2020-035229</w:t>
            </w:r>
          </w:p>
        </w:tc>
      </w:tr>
      <w:tr w:rsidR="00A63762" w14:paraId="4A2525BB" w14:textId="77777777" w:rsidTr="00A63762">
        <w:tc>
          <w:tcPr>
            <w:tcW w:w="3289" w:type="dxa"/>
          </w:tcPr>
          <w:p w14:paraId="55BF41AF" w14:textId="5A6A8710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Územie vykonania zbierky:</w:t>
            </w:r>
          </w:p>
        </w:tc>
        <w:tc>
          <w:tcPr>
            <w:tcW w:w="6135" w:type="dxa"/>
          </w:tcPr>
          <w:p w14:paraId="2547AF84" w14:textId="3D600BE5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okres Trnava</w:t>
            </w:r>
          </w:p>
        </w:tc>
      </w:tr>
      <w:tr w:rsidR="00A63762" w14:paraId="4A8BE2CF" w14:textId="77777777" w:rsidTr="00A63762">
        <w:tc>
          <w:tcPr>
            <w:tcW w:w="3289" w:type="dxa"/>
          </w:tcPr>
          <w:p w14:paraId="0E255B6A" w14:textId="396411B1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konania zbierky:</w:t>
            </w:r>
          </w:p>
        </w:tc>
        <w:tc>
          <w:tcPr>
            <w:tcW w:w="6135" w:type="dxa"/>
          </w:tcPr>
          <w:p w14:paraId="4A30BB3D" w14:textId="1795AF9A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</w:t>
            </w:r>
            <w:r w:rsidRPr="00A63762">
              <w:rPr>
                <w:b w:val="0"/>
                <w:bCs w:val="0"/>
                <w:sz w:val="24"/>
                <w:szCs w:val="24"/>
              </w:rPr>
              <w:t xml:space="preserve">d 20. 9. 2020 do </w:t>
            </w:r>
            <w:r>
              <w:rPr>
                <w:b w:val="0"/>
                <w:bCs w:val="0"/>
                <w:sz w:val="24"/>
                <w:szCs w:val="24"/>
              </w:rPr>
              <w:t>30. 6. 2021</w:t>
            </w:r>
          </w:p>
        </w:tc>
      </w:tr>
      <w:tr w:rsidR="00A63762" w14:paraId="3286411A" w14:textId="77777777" w:rsidTr="00A63762">
        <w:tc>
          <w:tcPr>
            <w:tcW w:w="3289" w:type="dxa"/>
          </w:tcPr>
          <w:p w14:paraId="7388FC42" w14:textId="6389F822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Spôsob vykonania zbierky:</w:t>
            </w:r>
          </w:p>
        </w:tc>
        <w:tc>
          <w:tcPr>
            <w:tcW w:w="6135" w:type="dxa"/>
          </w:tcPr>
          <w:p w14:paraId="0831AFD7" w14:textId="77777777" w:rsid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 xml:space="preserve">zbieraním </w:t>
            </w:r>
            <w:r>
              <w:rPr>
                <w:b w:val="0"/>
                <w:bCs w:val="0"/>
                <w:sz w:val="24"/>
                <w:szCs w:val="24"/>
              </w:rPr>
              <w:t>do stacionárnych pokladničiek</w:t>
            </w:r>
          </w:p>
          <w:p w14:paraId="04E7B788" w14:textId="77777777" w:rsid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predajom vstupeniek</w:t>
            </w:r>
          </w:p>
          <w:p w14:paraId="694260BE" w14:textId="7AD246C7" w:rsidR="00A63762" w:rsidRP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zasielaním príspevkov na osobitný účet</w:t>
            </w:r>
          </w:p>
        </w:tc>
      </w:tr>
      <w:tr w:rsidR="00A63762" w14:paraId="486413C0" w14:textId="77777777" w:rsidTr="00A63762">
        <w:tc>
          <w:tcPr>
            <w:tcW w:w="3289" w:type="dxa"/>
          </w:tcPr>
          <w:p w14:paraId="5B4290A5" w14:textId="18334EAE" w:rsid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Poverené osoby:</w:t>
            </w:r>
          </w:p>
        </w:tc>
        <w:tc>
          <w:tcPr>
            <w:tcW w:w="6135" w:type="dxa"/>
          </w:tcPr>
          <w:p w14:paraId="23B3EBA6" w14:textId="2321D5A5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Mgr. Rastislav Mráz</w:t>
            </w:r>
            <w:r w:rsidR="005C47A5">
              <w:rPr>
                <w:b w:val="0"/>
                <w:bCs w:val="0"/>
                <w:sz w:val="24"/>
                <w:szCs w:val="24"/>
              </w:rPr>
              <w:t xml:space="preserve"> (+421 905 186 719)</w:t>
            </w:r>
          </w:p>
        </w:tc>
      </w:tr>
    </w:tbl>
    <w:p w14:paraId="35B40717" w14:textId="64BC3A38" w:rsidR="008C0731" w:rsidRDefault="008C0731" w:rsidP="00A63762">
      <w:pPr>
        <w:pStyle w:val="Zkladntext1"/>
        <w:shd w:val="clear" w:color="auto" w:fill="auto"/>
        <w:spacing w:before="100" w:beforeAutospacing="1" w:after="100" w:afterAutospacing="1" w:line="413" w:lineRule="exact"/>
        <w:contextualSpacing/>
        <w:sectPr w:rsidR="008C0731" w:rsidSect="00A63762">
          <w:type w:val="continuous"/>
          <w:pgSz w:w="11905" w:h="16837"/>
          <w:pgMar w:top="1200" w:right="1419" w:bottom="1474" w:left="1414" w:header="0" w:footer="3" w:gutter="0"/>
          <w:cols w:space="720"/>
          <w:noEndnote/>
          <w:docGrid w:linePitch="360"/>
        </w:sectPr>
      </w:pPr>
    </w:p>
    <w:p w14:paraId="263CDCD0" w14:textId="77777777" w:rsidR="008C0731" w:rsidRDefault="002A09AC" w:rsidP="00A63762">
      <w:pPr>
        <w:spacing w:before="100" w:beforeAutospacing="1" w:after="100" w:afterAutospacing="1"/>
        <w:contextualSpacing/>
        <w:rPr>
          <w:sz w:val="2"/>
          <w:szCs w:val="2"/>
        </w:rPr>
        <w:sectPr w:rsidR="008C0731" w:rsidSect="00A6376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161AEA21" w14:textId="09F4F653" w:rsidR="00A63762" w:rsidRDefault="00A63762" w:rsidP="00A63762">
      <w:pPr>
        <w:pStyle w:val="Bodytext20"/>
        <w:shd w:val="clear" w:color="auto" w:fill="auto"/>
        <w:spacing w:before="100" w:beforeAutospacing="1" w:after="100" w:afterAutospacing="1" w:line="220" w:lineRule="exact"/>
        <w:ind w:left="4420"/>
        <w:contextualSpacing/>
      </w:pPr>
    </w:p>
    <w:p w14:paraId="28CFB124" w14:textId="2F01CE41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  <w:r w:rsidRPr="00A63762">
        <w:rPr>
          <w:sz w:val="24"/>
          <w:szCs w:val="24"/>
        </w:rPr>
        <w:t>II.</w:t>
      </w:r>
    </w:p>
    <w:p w14:paraId="7352691B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</w:p>
    <w:p w14:paraId="42CB7597" w14:textId="63D54B88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Občianske združenie Naše </w:t>
      </w:r>
      <w:proofErr w:type="spellStart"/>
      <w:r w:rsidRPr="00A63762">
        <w:rPr>
          <w:b w:val="0"/>
          <w:bCs w:val="0"/>
          <w:sz w:val="24"/>
          <w:szCs w:val="24"/>
        </w:rPr>
        <w:t>mesTTo</w:t>
      </w:r>
      <w:proofErr w:type="spellEnd"/>
      <w:r w:rsidRPr="00A63762">
        <w:rPr>
          <w:b w:val="0"/>
          <w:bCs w:val="0"/>
          <w:sz w:val="24"/>
          <w:szCs w:val="24"/>
        </w:rPr>
        <w:t xml:space="preserve"> Trnava vykonalo v dňo</w:t>
      </w:r>
      <w:r w:rsidR="002A31D6">
        <w:rPr>
          <w:b w:val="0"/>
          <w:bCs w:val="0"/>
          <w:sz w:val="24"/>
          <w:szCs w:val="24"/>
        </w:rPr>
        <w:t>c</w:t>
      </w:r>
      <w:r w:rsidRPr="00A63762">
        <w:rPr>
          <w:b w:val="0"/>
          <w:bCs w:val="0"/>
          <w:sz w:val="24"/>
          <w:szCs w:val="24"/>
        </w:rPr>
        <w:t>h od 20. 9. 2020 do 30. 6. 2021 verejnú zbierku zameranú na získanie finančných prostriedkov na vybudovanie pamätníka nenarodeným deťom, ktorý má umožniť dôstojnú spomienku na tieto deti, ktorá by mala pomôcť rodičom a pozostalým prekonať traumu z toho, že prišli o dieťa pred jeho narodením.</w:t>
      </w:r>
    </w:p>
    <w:p w14:paraId="126AEE96" w14:textId="45CB8436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>Verejná zbierka bola vykonávaná spôsobom zasielania príspevkov na osobitný úče</w:t>
      </w:r>
      <w:r w:rsidR="00A27CBF">
        <w:rPr>
          <w:b w:val="0"/>
          <w:bCs w:val="0"/>
          <w:sz w:val="24"/>
          <w:szCs w:val="24"/>
        </w:rPr>
        <w:t>t</w:t>
      </w:r>
      <w:r w:rsidRPr="00A63762">
        <w:rPr>
          <w:b w:val="0"/>
          <w:bCs w:val="0"/>
          <w:sz w:val="24"/>
          <w:szCs w:val="24"/>
        </w:rPr>
        <w:t>.</w:t>
      </w:r>
    </w:p>
    <w:p w14:paraId="2B4FA3F8" w14:textId="65D3A996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lastRenderedPageBreak/>
        <w:t>Vzhľadom na nepriaznivú epidemiologickú situáciu spôsobenú šírením ochorenia Covid-19 nebolo možné v čase konania zbierky zorganizovať spoločenské podujatie, na ktorom by sa uskutočnila zbierka s</w:t>
      </w:r>
      <w:r w:rsidR="002A31D6">
        <w:rPr>
          <w:b w:val="0"/>
          <w:bCs w:val="0"/>
          <w:sz w:val="24"/>
          <w:szCs w:val="24"/>
        </w:rPr>
        <w:t>p</w:t>
      </w:r>
      <w:r w:rsidRPr="00A63762">
        <w:rPr>
          <w:b w:val="0"/>
          <w:bCs w:val="0"/>
          <w:sz w:val="24"/>
          <w:szCs w:val="24"/>
        </w:rPr>
        <w:t>ôsobom predaja vstupenie</w:t>
      </w:r>
      <w:r w:rsidR="002A31D6">
        <w:rPr>
          <w:b w:val="0"/>
          <w:bCs w:val="0"/>
          <w:sz w:val="24"/>
          <w:szCs w:val="24"/>
        </w:rPr>
        <w:t>k</w:t>
      </w:r>
      <w:r w:rsidRPr="00A63762">
        <w:rPr>
          <w:b w:val="0"/>
          <w:bCs w:val="0"/>
          <w:sz w:val="24"/>
          <w:szCs w:val="24"/>
        </w:rPr>
        <w:t>.</w:t>
      </w:r>
      <w:r w:rsidR="00435523">
        <w:rPr>
          <w:b w:val="0"/>
          <w:bCs w:val="0"/>
          <w:sz w:val="24"/>
          <w:szCs w:val="24"/>
        </w:rPr>
        <w:t xml:space="preserve"> Zbierka týmto spôsobom sa preto neuskutočnila.</w:t>
      </w:r>
    </w:p>
    <w:p w14:paraId="295232C4" w14:textId="14C96699" w:rsidR="00A63762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Vzhľadom na nepriaznivú epidemiologickú situáciu spôsobenú šírením ochorenia Covid-19 </w:t>
      </w:r>
      <w:r>
        <w:rPr>
          <w:b w:val="0"/>
          <w:bCs w:val="0"/>
          <w:sz w:val="24"/>
          <w:szCs w:val="24"/>
        </w:rPr>
        <w:t xml:space="preserve">v spojení so zákazom vychádzania </w:t>
      </w:r>
      <w:r w:rsidRPr="00A63762">
        <w:rPr>
          <w:b w:val="0"/>
          <w:bCs w:val="0"/>
          <w:sz w:val="24"/>
          <w:szCs w:val="24"/>
        </w:rPr>
        <w:t>nebolo mož</w:t>
      </w:r>
      <w:r>
        <w:rPr>
          <w:b w:val="0"/>
          <w:bCs w:val="0"/>
          <w:sz w:val="24"/>
          <w:szCs w:val="24"/>
        </w:rPr>
        <w:t>né v rozhodujúcom čase uskutočniť zbierku prostredníctvom zbierania do stacionárnych pokladničiek.</w:t>
      </w:r>
      <w:r w:rsidR="00435523">
        <w:rPr>
          <w:b w:val="0"/>
          <w:bCs w:val="0"/>
          <w:sz w:val="24"/>
          <w:szCs w:val="24"/>
        </w:rPr>
        <w:t xml:space="preserve"> Zbierka týmto spôsobom sa preto neuskutočnila.</w:t>
      </w:r>
    </w:p>
    <w:p w14:paraId="7956013F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4251F42B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  <w:r w:rsidRPr="00A63762">
        <w:rPr>
          <w:sz w:val="24"/>
          <w:szCs w:val="24"/>
        </w:rPr>
        <w:t>III.</w:t>
      </w:r>
    </w:p>
    <w:p w14:paraId="5D10E199" w14:textId="0843EB0A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Počas konania verejnej zbierky sa vyzbierali finančné prostriedky v celkovej výške </w:t>
      </w:r>
      <w:r>
        <w:rPr>
          <w:b w:val="0"/>
          <w:bCs w:val="0"/>
          <w:sz w:val="24"/>
          <w:szCs w:val="24"/>
        </w:rPr>
        <w:t>1375</w:t>
      </w:r>
      <w:r w:rsidRPr="00A63762">
        <w:rPr>
          <w:b w:val="0"/>
          <w:bCs w:val="0"/>
          <w:sz w:val="24"/>
          <w:szCs w:val="24"/>
        </w:rPr>
        <w:t xml:space="preserve">,- eur (slovom: </w:t>
      </w:r>
      <w:r>
        <w:rPr>
          <w:b w:val="0"/>
          <w:bCs w:val="0"/>
          <w:sz w:val="24"/>
          <w:szCs w:val="24"/>
        </w:rPr>
        <w:t>tisíctris</w:t>
      </w:r>
      <w:r w:rsidR="002A31D6">
        <w:rPr>
          <w:b w:val="0"/>
          <w:bCs w:val="0"/>
          <w:sz w:val="24"/>
          <w:szCs w:val="24"/>
        </w:rPr>
        <w:t>t</w:t>
      </w:r>
      <w:r>
        <w:rPr>
          <w:b w:val="0"/>
          <w:bCs w:val="0"/>
          <w:sz w:val="24"/>
          <w:szCs w:val="24"/>
        </w:rPr>
        <w:t>osedemdesiatpäť</w:t>
      </w:r>
      <w:r w:rsidRPr="00A63762">
        <w:rPr>
          <w:b w:val="0"/>
          <w:bCs w:val="0"/>
          <w:sz w:val="24"/>
          <w:szCs w:val="24"/>
        </w:rPr>
        <w:t xml:space="preserve"> eur). Vyzbierané finančné prostriedky </w:t>
      </w:r>
      <w:r>
        <w:rPr>
          <w:b w:val="0"/>
          <w:bCs w:val="0"/>
          <w:sz w:val="24"/>
          <w:szCs w:val="24"/>
        </w:rPr>
        <w:t>boli</w:t>
      </w:r>
      <w:r w:rsidRPr="00A63762">
        <w:rPr>
          <w:b w:val="0"/>
          <w:bCs w:val="0"/>
          <w:sz w:val="24"/>
          <w:szCs w:val="24"/>
        </w:rPr>
        <w:t xml:space="preserve"> použité v súlade s účelom konania zbierky a to na </w:t>
      </w:r>
      <w:r w:rsidR="00A27CBF">
        <w:rPr>
          <w:b w:val="0"/>
          <w:bCs w:val="0"/>
          <w:sz w:val="24"/>
          <w:szCs w:val="24"/>
        </w:rPr>
        <w:t>zaobstaranie súsošia</w:t>
      </w:r>
      <w:r>
        <w:rPr>
          <w:b w:val="0"/>
          <w:bCs w:val="0"/>
          <w:sz w:val="24"/>
          <w:szCs w:val="24"/>
        </w:rPr>
        <w:t xml:space="preserve"> Pomník nenarodeným deťom</w:t>
      </w:r>
      <w:r w:rsidR="00766D95">
        <w:rPr>
          <w:b w:val="0"/>
          <w:bCs w:val="0"/>
          <w:sz w:val="24"/>
          <w:szCs w:val="24"/>
        </w:rPr>
        <w:t xml:space="preserve"> od </w:t>
      </w:r>
      <w:r w:rsidR="00766D95" w:rsidRPr="00766D95">
        <w:rPr>
          <w:b w:val="0"/>
          <w:bCs w:val="0"/>
          <w:sz w:val="24"/>
          <w:szCs w:val="24"/>
        </w:rPr>
        <w:t>Mgr. Art. Martin</w:t>
      </w:r>
      <w:r w:rsidR="00766D95">
        <w:rPr>
          <w:b w:val="0"/>
          <w:bCs w:val="0"/>
          <w:sz w:val="24"/>
          <w:szCs w:val="24"/>
        </w:rPr>
        <w:t>a</w:t>
      </w:r>
      <w:r w:rsidR="00766D95" w:rsidRPr="00766D95">
        <w:rPr>
          <w:b w:val="0"/>
          <w:bCs w:val="0"/>
          <w:sz w:val="24"/>
          <w:szCs w:val="24"/>
        </w:rPr>
        <w:t xml:space="preserve"> Hudáčk</w:t>
      </w:r>
      <w:r w:rsidR="00766D95">
        <w:rPr>
          <w:b w:val="0"/>
          <w:bCs w:val="0"/>
          <w:sz w:val="24"/>
          <w:szCs w:val="24"/>
        </w:rPr>
        <w:t>a.</w:t>
      </w:r>
    </w:p>
    <w:p w14:paraId="2AF9BD6B" w14:textId="77777777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6BAB8B76" w14:textId="1ABBA01A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A63762">
        <w:rPr>
          <w:sz w:val="24"/>
          <w:szCs w:val="24"/>
        </w:rPr>
        <w:t>Sumár verejnej zbierky:</w:t>
      </w:r>
    </w:p>
    <w:p w14:paraId="3FEEE0B6" w14:textId="01E02AE0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Hrubý výnos z verejnej zbierky: </w:t>
      </w:r>
      <w:r>
        <w:rPr>
          <w:b w:val="0"/>
          <w:bCs w:val="0"/>
          <w:sz w:val="24"/>
          <w:szCs w:val="24"/>
        </w:rPr>
        <w:t>1375</w:t>
      </w:r>
      <w:r w:rsidRPr="00A63762">
        <w:rPr>
          <w:b w:val="0"/>
          <w:bCs w:val="0"/>
          <w:sz w:val="24"/>
          <w:szCs w:val="24"/>
        </w:rPr>
        <w:t xml:space="preserve">,- eur (slovom: </w:t>
      </w:r>
      <w:r>
        <w:rPr>
          <w:b w:val="0"/>
          <w:bCs w:val="0"/>
          <w:sz w:val="24"/>
          <w:szCs w:val="24"/>
        </w:rPr>
        <w:t>tisíctris</w:t>
      </w:r>
      <w:r w:rsidR="002A31D6">
        <w:rPr>
          <w:b w:val="0"/>
          <w:bCs w:val="0"/>
          <w:sz w:val="24"/>
          <w:szCs w:val="24"/>
        </w:rPr>
        <w:t>t</w:t>
      </w:r>
      <w:r>
        <w:rPr>
          <w:b w:val="0"/>
          <w:bCs w:val="0"/>
          <w:sz w:val="24"/>
          <w:szCs w:val="24"/>
        </w:rPr>
        <w:t>osedemdesiatpäť</w:t>
      </w:r>
      <w:r w:rsidRPr="00A63762">
        <w:rPr>
          <w:b w:val="0"/>
          <w:bCs w:val="0"/>
          <w:sz w:val="24"/>
          <w:szCs w:val="24"/>
        </w:rPr>
        <w:t xml:space="preserve"> eur)</w:t>
      </w:r>
    </w:p>
    <w:p w14:paraId="2F1228C0" w14:textId="1EB925E1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>Náklady spojené s konaním verejnej zbierky: 0,- eur</w:t>
      </w:r>
    </w:p>
    <w:p w14:paraId="66B22364" w14:textId="24512AD1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Čistý výnos z verejnej zbierky: </w:t>
      </w:r>
      <w:r>
        <w:rPr>
          <w:b w:val="0"/>
          <w:bCs w:val="0"/>
          <w:sz w:val="24"/>
          <w:szCs w:val="24"/>
        </w:rPr>
        <w:t>1375</w:t>
      </w:r>
      <w:r w:rsidRPr="00A63762">
        <w:rPr>
          <w:b w:val="0"/>
          <w:bCs w:val="0"/>
          <w:sz w:val="24"/>
          <w:szCs w:val="24"/>
        </w:rPr>
        <w:t xml:space="preserve">,- eur (slovom: </w:t>
      </w:r>
      <w:r>
        <w:rPr>
          <w:b w:val="0"/>
          <w:bCs w:val="0"/>
          <w:sz w:val="24"/>
          <w:szCs w:val="24"/>
        </w:rPr>
        <w:t>tisíctris</w:t>
      </w:r>
      <w:r w:rsidR="002A31D6">
        <w:rPr>
          <w:b w:val="0"/>
          <w:bCs w:val="0"/>
          <w:sz w:val="24"/>
          <w:szCs w:val="24"/>
        </w:rPr>
        <w:t>t</w:t>
      </w:r>
      <w:r>
        <w:rPr>
          <w:b w:val="0"/>
          <w:bCs w:val="0"/>
          <w:sz w:val="24"/>
          <w:szCs w:val="24"/>
        </w:rPr>
        <w:t>osedemdesiatpäť</w:t>
      </w:r>
      <w:r w:rsidRPr="00A63762">
        <w:rPr>
          <w:b w:val="0"/>
          <w:bCs w:val="0"/>
          <w:sz w:val="24"/>
          <w:szCs w:val="24"/>
        </w:rPr>
        <w:t xml:space="preserve"> eur)</w:t>
      </w:r>
    </w:p>
    <w:p w14:paraId="4502B2BD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159A745E" w14:textId="04CBC14C" w:rsidR="00A63762" w:rsidRPr="00A63762" w:rsidRDefault="00A63762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V </w:t>
      </w:r>
      <w:r>
        <w:rPr>
          <w:b w:val="0"/>
          <w:bCs w:val="0"/>
          <w:sz w:val="24"/>
          <w:szCs w:val="24"/>
        </w:rPr>
        <w:t>Trnave</w:t>
      </w:r>
      <w:r w:rsidRPr="00A63762">
        <w:rPr>
          <w:b w:val="0"/>
          <w:bCs w:val="0"/>
          <w:sz w:val="24"/>
          <w:szCs w:val="24"/>
        </w:rPr>
        <w:t xml:space="preserve">, dňa </w:t>
      </w:r>
      <w:r>
        <w:rPr>
          <w:b w:val="0"/>
          <w:bCs w:val="0"/>
          <w:sz w:val="24"/>
          <w:szCs w:val="24"/>
        </w:rPr>
        <w:t>22. 7. 2021</w:t>
      </w:r>
    </w:p>
    <w:sectPr w:rsidR="00A63762" w:rsidRPr="00A63762" w:rsidSect="00A63762">
      <w:type w:val="continuous"/>
      <w:pgSz w:w="11905" w:h="16837"/>
      <w:pgMar w:top="1200" w:right="1414" w:bottom="1474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8148" w14:textId="77777777" w:rsidR="00850807" w:rsidRDefault="00850807">
      <w:r>
        <w:separator/>
      </w:r>
    </w:p>
  </w:endnote>
  <w:endnote w:type="continuationSeparator" w:id="0">
    <w:p w14:paraId="59C91451" w14:textId="77777777" w:rsidR="00850807" w:rsidRDefault="0085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211B" w14:textId="77777777" w:rsidR="00850807" w:rsidRDefault="00850807"/>
  </w:footnote>
  <w:footnote w:type="continuationSeparator" w:id="0">
    <w:p w14:paraId="68692F69" w14:textId="77777777" w:rsidR="00850807" w:rsidRDefault="008508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4F"/>
    <w:multiLevelType w:val="hybridMultilevel"/>
    <w:tmpl w:val="FC887D3A"/>
    <w:lvl w:ilvl="0" w:tplc="7CF8B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NDI1NDMwNzMyMDFS0lEKTi0uzszPAykwrAUA0xHWCiwAAAA="/>
  </w:docVars>
  <w:rsids>
    <w:rsidRoot w:val="008C0731"/>
    <w:rsid w:val="002A09AC"/>
    <w:rsid w:val="002A31D6"/>
    <w:rsid w:val="00435523"/>
    <w:rsid w:val="005C47A5"/>
    <w:rsid w:val="00766D95"/>
    <w:rsid w:val="00850807"/>
    <w:rsid w:val="008C0731"/>
    <w:rsid w:val="00A27CBF"/>
    <w:rsid w:val="00A63762"/>
    <w:rsid w:val="00E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7E1"/>
  <w15:docId w15:val="{240C605A-8D03-4506-8634-F915CC18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540" w:line="485" w:lineRule="exact"/>
      <w:ind w:firstLine="29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1">
    <w:name w:val="Základný text1"/>
    <w:basedOn w:val="Normln"/>
    <w:link w:val="Bodytext"/>
    <w:pPr>
      <w:shd w:val="clear" w:color="auto" w:fill="FFFFFF"/>
      <w:spacing w:after="360" w:line="40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Mkatabulky">
    <w:name w:val="Table Grid"/>
    <w:basedOn w:val="Normlntabulka"/>
    <w:uiPriority w:val="39"/>
    <w:rsid w:val="00A6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Križan</dc:creator>
  <cp:keywords/>
  <cp:lastModifiedBy>Rasťo Mráz</cp:lastModifiedBy>
  <cp:revision>3</cp:revision>
  <dcterms:created xsi:type="dcterms:W3CDTF">2021-08-05T14:06:00Z</dcterms:created>
  <dcterms:modified xsi:type="dcterms:W3CDTF">2021-08-05T14:11:00Z</dcterms:modified>
</cp:coreProperties>
</file>